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1AD2" w14:textId="6F3EAE8C" w:rsidR="000C3A6A" w:rsidRDefault="000C3A6A"/>
    <w:p w14:paraId="7BD60973" w14:textId="77777777" w:rsidR="00621F81" w:rsidRDefault="00621F81" w:rsidP="00E8634B">
      <w:pPr>
        <w:rPr>
          <w:b/>
          <w:sz w:val="32"/>
          <w:szCs w:val="32"/>
        </w:rPr>
      </w:pPr>
    </w:p>
    <w:p w14:paraId="5D35870C" w14:textId="3AC6E71B" w:rsidR="00621F81" w:rsidRDefault="009B089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BILJEŠKE UZ FINANCIJSKE IZVJEŠTAJE ZA RAZDOBLJE 1.SIJEČNJA DO 31.PROSINCA 202</w:t>
      </w:r>
      <w:r w:rsidR="000C3A6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</w:p>
    <w:p w14:paraId="7B9CDCA2" w14:textId="77777777" w:rsidR="00E8634B" w:rsidRDefault="00E8634B">
      <w:pPr>
        <w:ind w:firstLine="708"/>
        <w:jc w:val="center"/>
        <w:rPr>
          <w:b/>
          <w:sz w:val="32"/>
          <w:szCs w:val="32"/>
        </w:rPr>
      </w:pPr>
    </w:p>
    <w:p w14:paraId="698AC461" w14:textId="77777777" w:rsidR="00621F81" w:rsidRDefault="00621F81">
      <w:pPr>
        <w:ind w:firstLine="708"/>
        <w:jc w:val="center"/>
        <w:rPr>
          <w:b/>
          <w:sz w:val="32"/>
          <w:szCs w:val="32"/>
        </w:rPr>
      </w:pPr>
    </w:p>
    <w:p w14:paraId="0B9CA218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Broj RKP-a: 13463</w:t>
      </w:r>
    </w:p>
    <w:p w14:paraId="130338EE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Matični broj: 03410692</w:t>
      </w:r>
    </w:p>
    <w:p w14:paraId="7DABBD80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OIB: 16636040183</w:t>
      </w:r>
    </w:p>
    <w:p w14:paraId="4091DCCC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Naziv obveznika: Osnovna škola Mejaši</w:t>
      </w:r>
    </w:p>
    <w:p w14:paraId="36D05D58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Adresa obveznika: Mejaši 20</w:t>
      </w:r>
    </w:p>
    <w:p w14:paraId="7299CDA3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Oznaka razine: 31</w:t>
      </w:r>
    </w:p>
    <w:p w14:paraId="1172C9CC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Šifra djelatnosti, razdjel: 8520</w:t>
      </w:r>
    </w:p>
    <w:p w14:paraId="7BB45A04" w14:textId="77777777" w:rsidR="00621F81" w:rsidRDefault="009B0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Šifra županije/grada/općine: 409</w:t>
      </w:r>
    </w:p>
    <w:p w14:paraId="50EE5386" w14:textId="77777777" w:rsidR="00621F81" w:rsidRDefault="00621F81">
      <w:pPr>
        <w:rPr>
          <w:sz w:val="28"/>
          <w:szCs w:val="28"/>
        </w:rPr>
      </w:pPr>
    </w:p>
    <w:p w14:paraId="6207101F" w14:textId="77777777" w:rsidR="00621F81" w:rsidRDefault="009B089D" w:rsidP="00E8634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Osnovna škola Mejaši posluje u skladu s Zakonom o odgoju i obrazovanju u osnovnoj i srednjoj školi te Statutom škole.  Škola vodi proračunsko računovodstvo temeljem Pravilnika o proračunskom računovodstvu i Računskom planu. Financijske izvještaje sastavlja i predaje u skladu s odredbama Pravilnika o financijskom izvještavanju u proračunskom računovodstvu.</w:t>
      </w:r>
    </w:p>
    <w:p w14:paraId="44026A4D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2BB4DB2C" w14:textId="4BC92D49" w:rsidR="00621F81" w:rsidRDefault="00621F81" w:rsidP="00E8634B">
      <w:pPr>
        <w:spacing w:line="360" w:lineRule="auto"/>
        <w:rPr>
          <w:sz w:val="28"/>
          <w:szCs w:val="28"/>
        </w:rPr>
      </w:pPr>
    </w:p>
    <w:p w14:paraId="7FDB1BDD" w14:textId="77777777" w:rsidR="00E8634B" w:rsidRDefault="00E8634B" w:rsidP="00E8634B">
      <w:pPr>
        <w:spacing w:line="360" w:lineRule="auto"/>
        <w:rPr>
          <w:sz w:val="28"/>
          <w:szCs w:val="28"/>
        </w:rPr>
      </w:pPr>
    </w:p>
    <w:p w14:paraId="54490099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0FA8D0B7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IZVJEŠTAJ O PRIHODIMA I RASHODIMA, PRIMICIMA I IZDACIMA</w:t>
      </w:r>
    </w:p>
    <w:p w14:paraId="5A5BBBDE" w14:textId="77777777" w:rsidR="00621F81" w:rsidRDefault="00621F81" w:rsidP="00E8634B">
      <w:pPr>
        <w:spacing w:line="360" w:lineRule="auto"/>
        <w:ind w:firstLine="708"/>
        <w:rPr>
          <w:sz w:val="28"/>
          <w:szCs w:val="28"/>
        </w:rPr>
      </w:pPr>
    </w:p>
    <w:p w14:paraId="0C43271E" w14:textId="77777777" w:rsidR="00621F81" w:rsidRDefault="009B089D" w:rsidP="00E8634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U Bilješkama uz Izvještaj o prihodima i rashodima, primicima i izdacima navode se razlozi zbog kojih je došlo do većih odstupanja od ostvarenja u izvještajnom razdoblju prethodne godine.</w:t>
      </w:r>
    </w:p>
    <w:p w14:paraId="074059DB" w14:textId="77777777" w:rsidR="00621F81" w:rsidRDefault="00621F81">
      <w:pPr>
        <w:rPr>
          <w:sz w:val="28"/>
          <w:szCs w:val="28"/>
        </w:rPr>
      </w:pPr>
    </w:p>
    <w:p w14:paraId="4AC3E3A0" w14:textId="77777777" w:rsidR="00621F81" w:rsidRDefault="009B089D">
      <w:pPr>
        <w:rPr>
          <w:b/>
          <w:sz w:val="28"/>
          <w:szCs w:val="28"/>
        </w:rPr>
      </w:pPr>
      <w:r>
        <w:rPr>
          <w:sz w:val="28"/>
          <w:szCs w:val="28"/>
        </w:rPr>
        <w:t>OBRAZAC</w:t>
      </w:r>
      <w:r>
        <w:rPr>
          <w:b/>
          <w:sz w:val="28"/>
          <w:szCs w:val="28"/>
        </w:rPr>
        <w:t>: PR-RAS</w:t>
      </w:r>
    </w:p>
    <w:p w14:paraId="58004C63" w14:textId="77777777" w:rsidR="00621F81" w:rsidRDefault="00621F81">
      <w:pPr>
        <w:rPr>
          <w:b/>
          <w:sz w:val="28"/>
          <w:szCs w:val="28"/>
        </w:rPr>
      </w:pPr>
    </w:p>
    <w:p w14:paraId="1E7F54F3" w14:textId="77777777" w:rsidR="00621F81" w:rsidRDefault="009B089D">
      <w:pPr>
        <w:rPr>
          <w:sz w:val="28"/>
          <w:szCs w:val="28"/>
        </w:rPr>
      </w:pPr>
      <w:r>
        <w:rPr>
          <w:sz w:val="28"/>
          <w:szCs w:val="28"/>
        </w:rPr>
        <w:t>U obračunskom razdoblju ostvareni su sljedeći rezultati:</w:t>
      </w:r>
    </w:p>
    <w:p w14:paraId="15EA9FBC" w14:textId="77777777" w:rsidR="00621F81" w:rsidRDefault="00621F81">
      <w:pPr>
        <w:rPr>
          <w:sz w:val="28"/>
          <w:szCs w:val="28"/>
        </w:rPr>
      </w:pPr>
    </w:p>
    <w:p w14:paraId="64FE9E46" w14:textId="60C302FF" w:rsidR="00621F81" w:rsidRDefault="009B08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UKUPNI PRIHODI POSLOVANJA</w:t>
      </w:r>
      <w:r>
        <w:rPr>
          <w:sz w:val="28"/>
          <w:szCs w:val="28"/>
        </w:rPr>
        <w:t xml:space="preserve">   ……………………….    2.</w:t>
      </w:r>
      <w:r w:rsidR="00617307">
        <w:rPr>
          <w:sz w:val="28"/>
          <w:szCs w:val="28"/>
        </w:rPr>
        <w:t>880.118,62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</w:p>
    <w:p w14:paraId="170ADF5D" w14:textId="430942E3" w:rsidR="00621F81" w:rsidRDefault="009B08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UKUPNI RASHODI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(3+4)</w:t>
      </w:r>
      <w:r>
        <w:rPr>
          <w:sz w:val="28"/>
          <w:szCs w:val="28"/>
        </w:rPr>
        <w:t>……………………………………….   2.</w:t>
      </w:r>
      <w:r w:rsidR="00617307">
        <w:rPr>
          <w:sz w:val="28"/>
          <w:szCs w:val="28"/>
        </w:rPr>
        <w:t>870.598,17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</w:p>
    <w:p w14:paraId="1727B6E6" w14:textId="1D54A915" w:rsidR="00621F81" w:rsidRDefault="0061730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VIŠAK</w:t>
      </w:r>
      <w:r w:rsidR="009B089D">
        <w:rPr>
          <w:b/>
          <w:sz w:val="28"/>
          <w:szCs w:val="28"/>
        </w:rPr>
        <w:t xml:space="preserve"> PRIHODA –za 202</w:t>
      </w:r>
      <w:r>
        <w:rPr>
          <w:b/>
          <w:sz w:val="28"/>
          <w:szCs w:val="28"/>
        </w:rPr>
        <w:t>4</w:t>
      </w:r>
      <w:r w:rsidR="009B089D">
        <w:rPr>
          <w:b/>
          <w:sz w:val="28"/>
          <w:szCs w:val="28"/>
        </w:rPr>
        <w:t xml:space="preserve"> </w:t>
      </w:r>
      <w:r w:rsidR="009B089D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</w:t>
      </w:r>
      <w:r w:rsidR="009B089D">
        <w:rPr>
          <w:sz w:val="28"/>
          <w:szCs w:val="28"/>
        </w:rPr>
        <w:t xml:space="preserve">  </w:t>
      </w:r>
      <w:r>
        <w:rPr>
          <w:sz w:val="28"/>
          <w:szCs w:val="28"/>
        </w:rPr>
        <w:t>9.520,45</w:t>
      </w:r>
      <w:r w:rsidR="009B089D">
        <w:rPr>
          <w:sz w:val="28"/>
          <w:szCs w:val="28"/>
        </w:rPr>
        <w:t xml:space="preserve"> </w:t>
      </w:r>
      <w:proofErr w:type="spellStart"/>
      <w:r w:rsidR="009B089D">
        <w:rPr>
          <w:sz w:val="28"/>
          <w:szCs w:val="28"/>
        </w:rPr>
        <w:t>eur</w:t>
      </w:r>
      <w:proofErr w:type="spellEnd"/>
    </w:p>
    <w:p w14:paraId="69A04D4D" w14:textId="490E8247" w:rsidR="00621F81" w:rsidRDefault="009B08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PRENESENI </w:t>
      </w:r>
      <w:r w:rsidR="00617307">
        <w:rPr>
          <w:b/>
          <w:sz w:val="28"/>
          <w:szCs w:val="28"/>
        </w:rPr>
        <w:t>MANJAK</w:t>
      </w:r>
      <w:r>
        <w:rPr>
          <w:b/>
          <w:sz w:val="28"/>
          <w:szCs w:val="28"/>
        </w:rPr>
        <w:t xml:space="preserve">  IZ 202</w:t>
      </w:r>
      <w:r w:rsidR="006173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.g. </w:t>
      </w:r>
      <w:r>
        <w:rPr>
          <w:sz w:val="28"/>
          <w:szCs w:val="28"/>
        </w:rPr>
        <w:t xml:space="preserve">   ……………</w:t>
      </w:r>
      <w:r w:rsidR="00E765CE">
        <w:rPr>
          <w:sz w:val="28"/>
          <w:szCs w:val="28"/>
        </w:rPr>
        <w:t>..</w:t>
      </w:r>
      <w:r>
        <w:rPr>
          <w:sz w:val="28"/>
          <w:szCs w:val="28"/>
        </w:rPr>
        <w:t xml:space="preserve">………….....    </w:t>
      </w:r>
      <w:r w:rsidR="00617307">
        <w:rPr>
          <w:sz w:val="28"/>
          <w:szCs w:val="28"/>
        </w:rPr>
        <w:t>-2.298,54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</w:p>
    <w:p w14:paraId="00B54FF2" w14:textId="15D845C5" w:rsidR="006E752D" w:rsidRDefault="000E203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KOREKCIJA REZULTATA </w:t>
      </w:r>
      <w:r w:rsidRPr="000E2036">
        <w:rPr>
          <w:bCs/>
          <w:sz w:val="28"/>
          <w:szCs w:val="28"/>
        </w:rPr>
        <w:t>…………………………………</w:t>
      </w:r>
      <w:r>
        <w:rPr>
          <w:bCs/>
          <w:sz w:val="28"/>
          <w:szCs w:val="28"/>
        </w:rPr>
        <w:t>………….</w:t>
      </w:r>
      <w:r w:rsidRPr="000E2036">
        <w:rPr>
          <w:bCs/>
          <w:sz w:val="28"/>
          <w:szCs w:val="28"/>
        </w:rPr>
        <w:t>…</w:t>
      </w:r>
      <w:r w:rsidR="006E752D">
        <w:rPr>
          <w:b/>
          <w:sz w:val="28"/>
          <w:szCs w:val="28"/>
        </w:rPr>
        <w:t xml:space="preserve"> -</w:t>
      </w:r>
      <w:r w:rsidR="006E752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E752D">
        <w:rPr>
          <w:sz w:val="28"/>
          <w:szCs w:val="28"/>
        </w:rPr>
        <w:t xml:space="preserve">027,08 </w:t>
      </w:r>
      <w:proofErr w:type="spellStart"/>
      <w:r>
        <w:rPr>
          <w:sz w:val="28"/>
          <w:szCs w:val="28"/>
        </w:rPr>
        <w:t>eur</w:t>
      </w:r>
      <w:proofErr w:type="spellEnd"/>
    </w:p>
    <w:p w14:paraId="45C26235" w14:textId="403F7AEB" w:rsidR="00621F81" w:rsidRDefault="009B089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MANJAK PRIHODA -REZULTAT 202</w:t>
      </w:r>
      <w:r w:rsidR="00617307">
        <w:rPr>
          <w:b/>
          <w:sz w:val="28"/>
          <w:szCs w:val="28"/>
        </w:rPr>
        <w:t xml:space="preserve">4   </w:t>
      </w:r>
      <w:r>
        <w:rPr>
          <w:sz w:val="28"/>
          <w:szCs w:val="28"/>
        </w:rPr>
        <w:t>………</w:t>
      </w:r>
      <w:r w:rsidR="00617307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9F739D">
        <w:rPr>
          <w:sz w:val="28"/>
          <w:szCs w:val="28"/>
        </w:rPr>
        <w:t>…</w:t>
      </w:r>
      <w:r>
        <w:rPr>
          <w:sz w:val="28"/>
          <w:szCs w:val="28"/>
        </w:rPr>
        <w:t>…….      -</w:t>
      </w:r>
      <w:r w:rsidR="009F739D">
        <w:rPr>
          <w:sz w:val="28"/>
          <w:szCs w:val="28"/>
        </w:rPr>
        <w:t>805,17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</w:p>
    <w:p w14:paraId="4D3E5FEC" w14:textId="77777777" w:rsidR="00621F81" w:rsidRDefault="00621F81">
      <w:pPr>
        <w:rPr>
          <w:sz w:val="28"/>
          <w:szCs w:val="28"/>
        </w:rPr>
      </w:pPr>
    </w:p>
    <w:p w14:paraId="6CF2C450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38621A43" w14:textId="628FCDF6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Ostvareni </w:t>
      </w:r>
      <w:r>
        <w:rPr>
          <w:b/>
          <w:sz w:val="28"/>
          <w:szCs w:val="28"/>
        </w:rPr>
        <w:t>ukupni prihodi</w:t>
      </w:r>
      <w:r>
        <w:rPr>
          <w:sz w:val="28"/>
          <w:szCs w:val="28"/>
        </w:rPr>
        <w:t xml:space="preserve"> u 202</w:t>
      </w:r>
      <w:r w:rsidR="00E765CE">
        <w:rPr>
          <w:sz w:val="28"/>
          <w:szCs w:val="28"/>
        </w:rPr>
        <w:t>4</w:t>
      </w:r>
      <w:r>
        <w:rPr>
          <w:sz w:val="28"/>
          <w:szCs w:val="28"/>
        </w:rPr>
        <w:t>. godini su 2.</w:t>
      </w:r>
      <w:r w:rsidR="006E752D">
        <w:rPr>
          <w:sz w:val="28"/>
          <w:szCs w:val="28"/>
        </w:rPr>
        <w:t>880.118,62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. Veće povećanje na prihodima uočavamo kod tekućih pomoći proračunskim korisnicima iz proračuna koji im nije nadležan odnosno kao povećanje prihoda uslijed povećanja plaća djelatnicima od strane MZO</w:t>
      </w:r>
      <w:r w:rsidR="006F5A83">
        <w:rPr>
          <w:sz w:val="28"/>
          <w:szCs w:val="28"/>
        </w:rPr>
        <w:t xml:space="preserve">M </w:t>
      </w:r>
      <w:r>
        <w:rPr>
          <w:sz w:val="28"/>
          <w:szCs w:val="28"/>
        </w:rPr>
        <w:t>-</w:t>
      </w:r>
      <w:r w:rsidR="006F5A83">
        <w:rPr>
          <w:sz w:val="28"/>
          <w:szCs w:val="28"/>
        </w:rPr>
        <w:t xml:space="preserve"> </w:t>
      </w:r>
      <w:r>
        <w:rPr>
          <w:sz w:val="28"/>
          <w:szCs w:val="28"/>
        </w:rPr>
        <w:t>a. Povećanje prihoda iz nadležnog proračuna za poslovanje je nastalo primarno kao posljedica podmirivanja neplaćenih računa s kraja 202</w:t>
      </w:r>
      <w:r w:rsidR="00E765CE">
        <w:rPr>
          <w:sz w:val="28"/>
          <w:szCs w:val="28"/>
        </w:rPr>
        <w:t>3</w:t>
      </w:r>
      <w:r>
        <w:rPr>
          <w:sz w:val="28"/>
          <w:szCs w:val="28"/>
        </w:rPr>
        <w:t xml:space="preserve"> g. od strane Grada Splita.</w:t>
      </w:r>
    </w:p>
    <w:p w14:paraId="26965714" w14:textId="619444A0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6361 Tekuće pomoći proračunskim korisnicima iz proračuna koji im nije nadležan </w:t>
      </w:r>
      <w:r>
        <w:rPr>
          <w:sz w:val="28"/>
          <w:szCs w:val="28"/>
        </w:rPr>
        <w:t xml:space="preserve"> Zbog porasta osnovice za plaću prihodi od MZO</w:t>
      </w:r>
      <w:r w:rsidR="006F5A83">
        <w:rPr>
          <w:sz w:val="28"/>
          <w:szCs w:val="28"/>
        </w:rPr>
        <w:t xml:space="preserve">M </w:t>
      </w:r>
      <w:r>
        <w:rPr>
          <w:sz w:val="28"/>
          <w:szCs w:val="28"/>
        </w:rPr>
        <w:t>-</w:t>
      </w:r>
      <w:r w:rsidR="006F5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povećali se za </w:t>
      </w:r>
      <w:r w:rsidR="00E765CE">
        <w:rPr>
          <w:sz w:val="28"/>
          <w:szCs w:val="28"/>
        </w:rPr>
        <w:t>17</w:t>
      </w:r>
      <w:r>
        <w:rPr>
          <w:sz w:val="28"/>
          <w:szCs w:val="28"/>
        </w:rPr>
        <w:t xml:space="preserve">,7 % u odnosu na prošlu godinu . </w:t>
      </w:r>
    </w:p>
    <w:p w14:paraId="7D1D23AD" w14:textId="418FBD3A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6362 Kapitalne pomoći proračunskim korisnicima iz proračuna koji im nije nadležan </w:t>
      </w:r>
      <w:r>
        <w:rPr>
          <w:sz w:val="28"/>
          <w:szCs w:val="28"/>
        </w:rPr>
        <w:t xml:space="preserve">Iznos od </w:t>
      </w:r>
      <w:r w:rsidR="00E765CE">
        <w:rPr>
          <w:sz w:val="28"/>
          <w:szCs w:val="28"/>
        </w:rPr>
        <w:t>53.516,74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 odnosi se na prihod od MZO</w:t>
      </w:r>
      <w:r w:rsidR="006F5A83">
        <w:rPr>
          <w:sz w:val="28"/>
          <w:szCs w:val="28"/>
        </w:rPr>
        <w:t xml:space="preserve">M </w:t>
      </w:r>
      <w:r>
        <w:rPr>
          <w:sz w:val="28"/>
          <w:szCs w:val="28"/>
        </w:rPr>
        <w:t>-</w:t>
      </w:r>
      <w:r w:rsidR="006F5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za udžbenike i lektiru. </w:t>
      </w:r>
    </w:p>
    <w:p w14:paraId="61EE9D01" w14:textId="425B2B11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6615 Prihodi od pruženih usluga</w:t>
      </w:r>
      <w:r>
        <w:rPr>
          <w:sz w:val="28"/>
          <w:szCs w:val="28"/>
        </w:rPr>
        <w:t xml:space="preserve"> </w:t>
      </w:r>
      <w:r w:rsidR="00797004">
        <w:rPr>
          <w:sz w:val="28"/>
          <w:szCs w:val="28"/>
        </w:rPr>
        <w:t>Uočavam</w:t>
      </w:r>
      <w:r w:rsidR="006F5A83">
        <w:rPr>
          <w:sz w:val="28"/>
          <w:szCs w:val="28"/>
        </w:rPr>
        <w:t>o</w:t>
      </w:r>
      <w:r w:rsidR="00797004">
        <w:rPr>
          <w:sz w:val="28"/>
          <w:szCs w:val="28"/>
        </w:rPr>
        <w:t xml:space="preserve"> povećanje u odnosu na prošlu godinu, a odnosi se na iznajmljivanje školske dvorane</w:t>
      </w:r>
      <w:r>
        <w:rPr>
          <w:sz w:val="28"/>
          <w:szCs w:val="28"/>
        </w:rPr>
        <w:t>.</w:t>
      </w:r>
    </w:p>
    <w:p w14:paraId="7706F38A" w14:textId="0BD8B18B" w:rsidR="00797004" w:rsidRDefault="00797004" w:rsidP="00E863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6712 Prihodi iz</w:t>
      </w:r>
      <w:r w:rsidR="00966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nadležnog </w:t>
      </w:r>
      <w:r w:rsidR="00966651">
        <w:rPr>
          <w:b/>
          <w:sz w:val="28"/>
          <w:szCs w:val="28"/>
        </w:rPr>
        <w:t xml:space="preserve">proračuna za financiranje rashoda poslovanja </w:t>
      </w:r>
      <w:r w:rsidR="00966651" w:rsidRPr="00966651">
        <w:rPr>
          <w:bCs/>
          <w:sz w:val="28"/>
          <w:szCs w:val="28"/>
        </w:rPr>
        <w:t>odnosi se na porast prihoda Grada za nefinancijsku imovinu</w:t>
      </w:r>
      <w:r w:rsidR="00966651">
        <w:rPr>
          <w:bCs/>
          <w:sz w:val="28"/>
          <w:szCs w:val="28"/>
        </w:rPr>
        <w:t>.</w:t>
      </w:r>
    </w:p>
    <w:p w14:paraId="122BF23B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3AF88EAF" w14:textId="0A5A2EFF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Ostvareni </w:t>
      </w:r>
      <w:r>
        <w:rPr>
          <w:b/>
          <w:sz w:val="28"/>
          <w:szCs w:val="28"/>
        </w:rPr>
        <w:t>ukupni rashodi</w:t>
      </w:r>
      <w:r>
        <w:rPr>
          <w:sz w:val="28"/>
          <w:szCs w:val="28"/>
        </w:rPr>
        <w:t xml:space="preserve"> u 202</w:t>
      </w:r>
      <w:r w:rsidR="00966651">
        <w:rPr>
          <w:sz w:val="28"/>
          <w:szCs w:val="28"/>
        </w:rPr>
        <w:t>4</w:t>
      </w:r>
      <w:r>
        <w:rPr>
          <w:sz w:val="28"/>
          <w:szCs w:val="28"/>
        </w:rPr>
        <w:t>. godini iznose 2.</w:t>
      </w:r>
      <w:r w:rsidR="00966651">
        <w:rPr>
          <w:sz w:val="28"/>
          <w:szCs w:val="28"/>
        </w:rPr>
        <w:t>870.598,17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. Od toga rashodi poslovanja su 2.</w:t>
      </w:r>
      <w:r w:rsidR="00966651">
        <w:rPr>
          <w:sz w:val="28"/>
          <w:szCs w:val="28"/>
        </w:rPr>
        <w:t>802.964,02</w:t>
      </w:r>
      <w:r>
        <w:rPr>
          <w:sz w:val="28"/>
          <w:szCs w:val="28"/>
        </w:rPr>
        <w:t xml:space="preserve"> eura, a rashodi za nefinancijsku imovinu </w:t>
      </w:r>
      <w:r w:rsidR="00966651">
        <w:rPr>
          <w:sz w:val="28"/>
          <w:szCs w:val="28"/>
        </w:rPr>
        <w:t>67.634,15</w:t>
      </w:r>
      <w:r>
        <w:rPr>
          <w:sz w:val="28"/>
          <w:szCs w:val="28"/>
        </w:rPr>
        <w:t xml:space="preserve"> eura. Rashodi su povećani za </w:t>
      </w:r>
      <w:r w:rsidR="00966651">
        <w:rPr>
          <w:sz w:val="28"/>
          <w:szCs w:val="28"/>
        </w:rPr>
        <w:t>15</w:t>
      </w:r>
      <w:r>
        <w:rPr>
          <w:sz w:val="28"/>
          <w:szCs w:val="28"/>
        </w:rPr>
        <w:t>% u odnosu na prethodnu godinu.</w:t>
      </w:r>
    </w:p>
    <w:p w14:paraId="6C86B3D3" w14:textId="77777777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 nastavku navodimo značajnija povećanja.</w:t>
      </w:r>
    </w:p>
    <w:p w14:paraId="4EF451FA" w14:textId="3E901294" w:rsidR="00621F81" w:rsidRPr="004C0EFF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01176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011762">
        <w:rPr>
          <w:b/>
          <w:sz w:val="28"/>
          <w:szCs w:val="28"/>
        </w:rPr>
        <w:t>Službena putovanja</w:t>
      </w:r>
      <w:r>
        <w:rPr>
          <w:b/>
          <w:sz w:val="28"/>
          <w:szCs w:val="28"/>
        </w:rPr>
        <w:t xml:space="preserve">  </w:t>
      </w:r>
      <w:r w:rsidR="004C0EFF" w:rsidRPr="004C0EFF">
        <w:rPr>
          <w:bCs/>
          <w:sz w:val="28"/>
          <w:szCs w:val="28"/>
        </w:rPr>
        <w:t>povećanje nastalo uslijed većeg broja putnih naloga u odnosu na pro</w:t>
      </w:r>
      <w:r w:rsidR="004C0EFF">
        <w:rPr>
          <w:bCs/>
          <w:sz w:val="28"/>
          <w:szCs w:val="28"/>
        </w:rPr>
        <w:t>š</w:t>
      </w:r>
      <w:r w:rsidR="004C0EFF" w:rsidRPr="004C0EFF">
        <w:rPr>
          <w:bCs/>
          <w:sz w:val="28"/>
          <w:szCs w:val="28"/>
        </w:rPr>
        <w:t>lu godinu kao i novi iznosi dnevnica</w:t>
      </w:r>
      <w:r w:rsidR="006F5A83">
        <w:rPr>
          <w:bCs/>
          <w:sz w:val="28"/>
          <w:szCs w:val="28"/>
        </w:rPr>
        <w:t>.</w:t>
      </w:r>
    </w:p>
    <w:p w14:paraId="0DF9C6BB" w14:textId="382584B8" w:rsidR="00621F81" w:rsidRDefault="009B089D" w:rsidP="00E8634B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32</w:t>
      </w:r>
      <w:r w:rsidR="004C0EF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4C0EFF">
        <w:rPr>
          <w:b/>
          <w:sz w:val="28"/>
          <w:szCs w:val="28"/>
        </w:rPr>
        <w:t>Sitni inventar i auto gume</w:t>
      </w:r>
      <w:r>
        <w:rPr>
          <w:bCs/>
          <w:sz w:val="28"/>
          <w:szCs w:val="28"/>
        </w:rPr>
        <w:t xml:space="preserve"> Povećanje nastalo uslijed većeg ulaganja u</w:t>
      </w:r>
      <w:r w:rsidR="004C0EFF">
        <w:rPr>
          <w:bCs/>
          <w:sz w:val="28"/>
          <w:szCs w:val="28"/>
        </w:rPr>
        <w:t xml:space="preserve"> </w:t>
      </w:r>
      <w:r w:rsidR="00D37630">
        <w:rPr>
          <w:bCs/>
          <w:sz w:val="28"/>
          <w:szCs w:val="28"/>
        </w:rPr>
        <w:t>sitan inventar</w:t>
      </w:r>
      <w:r w:rsidR="006F5A83">
        <w:rPr>
          <w:bCs/>
          <w:sz w:val="28"/>
          <w:szCs w:val="28"/>
        </w:rPr>
        <w:t>.</w:t>
      </w:r>
      <w:r w:rsidR="00D37630">
        <w:rPr>
          <w:bCs/>
          <w:sz w:val="28"/>
          <w:szCs w:val="28"/>
        </w:rPr>
        <w:t xml:space="preserve"> </w:t>
      </w:r>
    </w:p>
    <w:p w14:paraId="16416AA7" w14:textId="51F5E05B" w:rsidR="006F5A83" w:rsidRDefault="009B089D" w:rsidP="00E8634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37630">
        <w:rPr>
          <w:b/>
          <w:sz w:val="28"/>
          <w:szCs w:val="28"/>
        </w:rPr>
        <w:t>231</w:t>
      </w:r>
      <w:r>
        <w:rPr>
          <w:b/>
          <w:sz w:val="28"/>
          <w:szCs w:val="28"/>
        </w:rPr>
        <w:t xml:space="preserve"> </w:t>
      </w:r>
      <w:r w:rsidR="00D37630">
        <w:rPr>
          <w:b/>
          <w:sz w:val="28"/>
          <w:szCs w:val="28"/>
        </w:rPr>
        <w:t>Usluge telefona, pošte i prijevoza</w:t>
      </w:r>
      <w:r>
        <w:rPr>
          <w:b/>
          <w:sz w:val="28"/>
          <w:szCs w:val="28"/>
        </w:rPr>
        <w:t xml:space="preserve"> </w:t>
      </w:r>
      <w:r w:rsidR="00D37630">
        <w:rPr>
          <w:sz w:val="28"/>
          <w:szCs w:val="28"/>
        </w:rPr>
        <w:t>veći iznos u odnosu na prošlu godinu, a zbog prijevoza</w:t>
      </w:r>
      <w:r w:rsidR="006F5A83">
        <w:rPr>
          <w:sz w:val="28"/>
          <w:szCs w:val="28"/>
        </w:rPr>
        <w:t xml:space="preserve"> na Državni stručni skup za učeničko poduzetništvo u Tuhelj, </w:t>
      </w:r>
      <w:r w:rsidR="006F5A83" w:rsidRPr="00E8634B">
        <w:rPr>
          <w:rFonts w:cstheme="minorHAnsi"/>
          <w:sz w:val="28"/>
          <w:szCs w:val="28"/>
        </w:rPr>
        <w:t xml:space="preserve">prijevoza djece na </w:t>
      </w:r>
      <w:r w:rsidR="00D37630" w:rsidRPr="00E8634B">
        <w:rPr>
          <w:rFonts w:cstheme="minorHAnsi"/>
          <w:sz w:val="28"/>
          <w:szCs w:val="28"/>
        </w:rPr>
        <w:t xml:space="preserve"> </w:t>
      </w:r>
      <w:r w:rsidR="006F5A83" w:rsidRPr="00E8634B">
        <w:rPr>
          <w:rFonts w:eastAsia="NSimSun" w:cstheme="minorHAnsi"/>
          <w:bCs/>
          <w:color w:val="000000"/>
          <w:kern w:val="2"/>
          <w:sz w:val="28"/>
          <w:szCs w:val="28"/>
          <w:lang w:eastAsia="zh-CN" w:bidi="hi-IN"/>
        </w:rPr>
        <w:t xml:space="preserve">IX. Međunarodno natjecanje dječjih zborova </w:t>
      </w:r>
      <w:proofErr w:type="spellStart"/>
      <w:r w:rsidR="006F5A83" w:rsidRPr="00E8634B">
        <w:rPr>
          <w:rFonts w:eastAsia="NSimSun" w:cstheme="minorHAnsi"/>
          <w:bCs/>
          <w:color w:val="000000"/>
          <w:kern w:val="2"/>
          <w:sz w:val="28"/>
          <w:szCs w:val="28"/>
          <w:lang w:eastAsia="zh-CN" w:bidi="hi-IN"/>
        </w:rPr>
        <w:t>Vallis</w:t>
      </w:r>
      <w:proofErr w:type="spellEnd"/>
      <w:r w:rsidR="006F5A83" w:rsidRPr="00E8634B">
        <w:rPr>
          <w:rFonts w:eastAsia="NSimSun" w:cstheme="minorHAnsi"/>
          <w:bCs/>
          <w:color w:val="000000"/>
          <w:kern w:val="2"/>
          <w:sz w:val="28"/>
          <w:szCs w:val="28"/>
          <w:lang w:eastAsia="zh-CN" w:bidi="hi-IN"/>
        </w:rPr>
        <w:t xml:space="preserve"> Aurea </w:t>
      </w:r>
      <w:proofErr w:type="spellStart"/>
      <w:r w:rsidR="006F5A83" w:rsidRPr="00E8634B">
        <w:rPr>
          <w:rFonts w:eastAsia="NSimSun" w:cstheme="minorHAnsi"/>
          <w:bCs/>
          <w:color w:val="000000"/>
          <w:kern w:val="2"/>
          <w:sz w:val="28"/>
          <w:szCs w:val="28"/>
          <w:lang w:eastAsia="zh-CN" w:bidi="hi-IN"/>
        </w:rPr>
        <w:t>Cantat</w:t>
      </w:r>
      <w:proofErr w:type="spellEnd"/>
      <w:r w:rsidR="006F5A83" w:rsidRPr="00E8634B">
        <w:rPr>
          <w:rFonts w:eastAsia="NSimSun" w:cstheme="minorHAnsi"/>
          <w:bCs/>
          <w:color w:val="000000"/>
          <w:kern w:val="2"/>
          <w:sz w:val="28"/>
          <w:szCs w:val="28"/>
          <w:lang w:eastAsia="zh-CN" w:bidi="hi-IN"/>
        </w:rPr>
        <w:t xml:space="preserve"> u Požegu te isplata roditeljima učenika iz Ukrajine.</w:t>
      </w:r>
    </w:p>
    <w:p w14:paraId="1AAFF28D" w14:textId="160BAA05" w:rsidR="00D260E7" w:rsidRDefault="00D260E7" w:rsidP="00E8634B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3299 Ostali nespomenuti rashodi poslovanja </w:t>
      </w:r>
      <w:r w:rsidRPr="00E8634B">
        <w:rPr>
          <w:rFonts w:cstheme="minorHAnsi"/>
          <w:bCs/>
          <w:sz w:val="28"/>
          <w:szCs w:val="28"/>
        </w:rPr>
        <w:t>Troškovi za osiguranje učenika,</w:t>
      </w:r>
      <w:r w:rsidR="006F5A83" w:rsidRPr="00E8634B">
        <w:rPr>
          <w:rFonts w:cstheme="minorHAnsi"/>
          <w:bCs/>
          <w:sz w:val="28"/>
          <w:szCs w:val="28"/>
        </w:rPr>
        <w:t xml:space="preserve"> odlazak školskog zbora na </w:t>
      </w:r>
      <w:r w:rsidRPr="00E8634B">
        <w:rPr>
          <w:rFonts w:cstheme="minorHAnsi"/>
          <w:bCs/>
          <w:sz w:val="28"/>
          <w:szCs w:val="28"/>
        </w:rPr>
        <w:t xml:space="preserve"> </w:t>
      </w:r>
      <w:r w:rsidR="006F5A83" w:rsidRPr="00E8634B">
        <w:rPr>
          <w:rFonts w:eastAsia="NSimSun" w:cstheme="minorHAnsi"/>
          <w:bCs/>
          <w:color w:val="000000"/>
          <w:kern w:val="2"/>
          <w:sz w:val="28"/>
          <w:szCs w:val="28"/>
          <w:lang w:eastAsia="zh-CN" w:bidi="hi-IN"/>
        </w:rPr>
        <w:t>67. Glazbene svečanosti hrvatske mladeži u Varaždin</w:t>
      </w:r>
      <w:r w:rsidR="006F5A83" w:rsidRPr="00E8634B">
        <w:rPr>
          <w:rFonts w:cstheme="minorHAnsi"/>
          <w:bCs/>
          <w:sz w:val="28"/>
          <w:szCs w:val="28"/>
        </w:rPr>
        <w:t xml:space="preserve"> te</w:t>
      </w:r>
      <w:r w:rsidRPr="00E8634B">
        <w:rPr>
          <w:rFonts w:cstheme="minorHAnsi"/>
          <w:bCs/>
          <w:sz w:val="28"/>
          <w:szCs w:val="28"/>
        </w:rPr>
        <w:t xml:space="preserve"> nagrade učenicima</w:t>
      </w:r>
    </w:p>
    <w:p w14:paraId="148AAE74" w14:textId="621C688E" w:rsidR="00D260E7" w:rsidRPr="00D260E7" w:rsidRDefault="00D260E7" w:rsidP="00E8634B">
      <w:pPr>
        <w:spacing w:line="360" w:lineRule="auto"/>
        <w:rPr>
          <w:b/>
          <w:sz w:val="28"/>
          <w:szCs w:val="28"/>
        </w:rPr>
      </w:pPr>
      <w:r w:rsidRPr="00D260E7">
        <w:rPr>
          <w:b/>
          <w:sz w:val="28"/>
          <w:szCs w:val="28"/>
        </w:rPr>
        <w:lastRenderedPageBreak/>
        <w:t>3433</w:t>
      </w:r>
      <w:r>
        <w:rPr>
          <w:b/>
          <w:sz w:val="28"/>
          <w:szCs w:val="28"/>
        </w:rPr>
        <w:t xml:space="preserve"> Zatezne kamate </w:t>
      </w:r>
      <w:r w:rsidRPr="00D260E7">
        <w:rPr>
          <w:bCs/>
          <w:sz w:val="28"/>
          <w:szCs w:val="28"/>
        </w:rPr>
        <w:t>veći iznos u odnosu na prošlo razdoblje jer smo ove godine isplatili i posljednje sudske sporove zbog kojih smo plaćali i kamate</w:t>
      </w:r>
      <w:r>
        <w:rPr>
          <w:b/>
          <w:sz w:val="28"/>
          <w:szCs w:val="28"/>
        </w:rPr>
        <w:t xml:space="preserve"> </w:t>
      </w:r>
    </w:p>
    <w:p w14:paraId="1D4F4857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0596E071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OBRAZAC: BILANCA</w:t>
      </w:r>
    </w:p>
    <w:p w14:paraId="082CF053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92211 Višak prihoda poslovanja</w:t>
      </w:r>
    </w:p>
    <w:p w14:paraId="3F0C4624" w14:textId="137C7C98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Škola je ostvarila višak prihoda poslovanja u iznosu od </w:t>
      </w:r>
      <w:r w:rsidR="006B6ED2">
        <w:rPr>
          <w:sz w:val="28"/>
          <w:szCs w:val="28"/>
        </w:rPr>
        <w:t>127</w:t>
      </w:r>
      <w:r w:rsidR="00BB6870">
        <w:rPr>
          <w:sz w:val="28"/>
          <w:szCs w:val="28"/>
        </w:rPr>
        <w:t>.</w:t>
      </w:r>
      <w:r w:rsidR="006B6ED2">
        <w:rPr>
          <w:sz w:val="28"/>
          <w:szCs w:val="28"/>
        </w:rPr>
        <w:t>182,45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. </w:t>
      </w:r>
    </w:p>
    <w:p w14:paraId="54EBB070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92222 Manjak prihoda od nefinancijske imovine</w:t>
      </w:r>
    </w:p>
    <w:p w14:paraId="70DC9EF6" w14:textId="29C4A20C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Škola je ostvarila manjak prihoda od nefinancijske imovine u iznosu od </w:t>
      </w:r>
      <w:r w:rsidR="006B6ED2">
        <w:rPr>
          <w:sz w:val="28"/>
          <w:szCs w:val="28"/>
        </w:rPr>
        <w:t>127</w:t>
      </w:r>
      <w:r w:rsidR="00BB6870">
        <w:rPr>
          <w:sz w:val="28"/>
          <w:szCs w:val="28"/>
        </w:rPr>
        <w:t>.</w:t>
      </w:r>
      <w:r w:rsidR="006B6ED2">
        <w:rPr>
          <w:sz w:val="28"/>
          <w:szCs w:val="28"/>
        </w:rPr>
        <w:t>987,62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.</w:t>
      </w:r>
    </w:p>
    <w:p w14:paraId="5ACB413F" w14:textId="77777777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Prema Zakonu o proračunskom računovodstvu napravljena je obavezna korekcija rezultata.</w:t>
      </w:r>
    </w:p>
    <w:p w14:paraId="4292EDB8" w14:textId="77777777" w:rsidR="00621F81" w:rsidRDefault="00621F81" w:rsidP="00E8634B">
      <w:pPr>
        <w:spacing w:line="360" w:lineRule="auto"/>
        <w:jc w:val="both"/>
        <w:rPr>
          <w:sz w:val="28"/>
          <w:szCs w:val="28"/>
        </w:rPr>
      </w:pPr>
    </w:p>
    <w:p w14:paraId="19B691E6" w14:textId="77895D21" w:rsidR="00621F81" w:rsidRDefault="009B089D" w:rsidP="00E86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Iz navedenoga proizlazi da OŠ Mejaši u 202</w:t>
      </w:r>
      <w:r w:rsidR="006B6ED2">
        <w:rPr>
          <w:sz w:val="28"/>
          <w:szCs w:val="28"/>
        </w:rPr>
        <w:t>4</w:t>
      </w:r>
      <w:r>
        <w:rPr>
          <w:sz w:val="28"/>
          <w:szCs w:val="28"/>
        </w:rPr>
        <w:t xml:space="preserve"> g. posluje sa ukupnim </w:t>
      </w:r>
      <w:r w:rsidR="006B6ED2">
        <w:rPr>
          <w:sz w:val="28"/>
          <w:szCs w:val="28"/>
        </w:rPr>
        <w:t>viškom</w:t>
      </w:r>
      <w:r>
        <w:rPr>
          <w:sz w:val="28"/>
          <w:szCs w:val="28"/>
        </w:rPr>
        <w:t xml:space="preserve"> od </w:t>
      </w:r>
      <w:r w:rsidR="006B6ED2">
        <w:rPr>
          <w:sz w:val="28"/>
          <w:szCs w:val="28"/>
        </w:rPr>
        <w:t>9</w:t>
      </w:r>
      <w:r w:rsidR="000E2036">
        <w:rPr>
          <w:sz w:val="28"/>
          <w:szCs w:val="28"/>
        </w:rPr>
        <w:t>.</w:t>
      </w:r>
      <w:r w:rsidR="006B6ED2">
        <w:rPr>
          <w:sz w:val="28"/>
          <w:szCs w:val="28"/>
        </w:rPr>
        <w:t>520,40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Ukalkulirajući</w:t>
      </w:r>
      <w:proofErr w:type="spellEnd"/>
      <w:r>
        <w:rPr>
          <w:sz w:val="28"/>
          <w:szCs w:val="28"/>
        </w:rPr>
        <w:t xml:space="preserve"> preneseni </w:t>
      </w:r>
      <w:r w:rsidR="006B6ED2">
        <w:rPr>
          <w:sz w:val="28"/>
          <w:szCs w:val="28"/>
        </w:rPr>
        <w:t>manjak</w:t>
      </w:r>
      <w:r>
        <w:rPr>
          <w:sz w:val="28"/>
          <w:szCs w:val="28"/>
        </w:rPr>
        <w:t xml:space="preserve"> iz 202</w:t>
      </w:r>
      <w:r w:rsidR="006B6ED2">
        <w:rPr>
          <w:sz w:val="28"/>
          <w:szCs w:val="28"/>
        </w:rPr>
        <w:t>3</w:t>
      </w:r>
      <w:r>
        <w:rPr>
          <w:sz w:val="28"/>
          <w:szCs w:val="28"/>
        </w:rPr>
        <w:t xml:space="preserve"> g. u iznosu </w:t>
      </w:r>
      <w:r w:rsidR="006B6ED2">
        <w:rPr>
          <w:sz w:val="28"/>
          <w:szCs w:val="28"/>
        </w:rPr>
        <w:t>2.298,54</w:t>
      </w:r>
      <w:r>
        <w:rPr>
          <w:sz w:val="28"/>
          <w:szCs w:val="28"/>
        </w:rPr>
        <w:t xml:space="preserve"> </w:t>
      </w:r>
      <w:r w:rsidR="006B6ED2">
        <w:rPr>
          <w:sz w:val="28"/>
          <w:szCs w:val="28"/>
        </w:rPr>
        <w:t xml:space="preserve">i manjak </w:t>
      </w:r>
      <w:r w:rsidR="003818F0">
        <w:rPr>
          <w:sz w:val="28"/>
          <w:szCs w:val="28"/>
        </w:rPr>
        <w:t xml:space="preserve">koji smo imali </w:t>
      </w:r>
      <w:r w:rsidR="000E2036">
        <w:rPr>
          <w:sz w:val="28"/>
          <w:szCs w:val="28"/>
        </w:rPr>
        <w:t xml:space="preserve">zbog naknadno provedenih korekcija u iznosu od  </w:t>
      </w:r>
      <w:r w:rsidR="003818F0">
        <w:rPr>
          <w:sz w:val="28"/>
          <w:szCs w:val="28"/>
        </w:rPr>
        <w:t xml:space="preserve"> 8.027,08 </w:t>
      </w:r>
      <w:proofErr w:type="spellStart"/>
      <w:r w:rsidR="003818F0">
        <w:rPr>
          <w:sz w:val="28"/>
          <w:szCs w:val="28"/>
        </w:rPr>
        <w:t>eur</w:t>
      </w:r>
      <w:proofErr w:type="spellEnd"/>
      <w:r w:rsidR="00BB6870">
        <w:rPr>
          <w:sz w:val="28"/>
          <w:szCs w:val="28"/>
        </w:rPr>
        <w:t>. R</w:t>
      </w:r>
      <w:r>
        <w:rPr>
          <w:sz w:val="28"/>
          <w:szCs w:val="28"/>
        </w:rPr>
        <w:t>ezultat poslovanja OŠ Mejaši u 202</w:t>
      </w:r>
      <w:r w:rsidR="006B6ED2">
        <w:rPr>
          <w:sz w:val="28"/>
          <w:szCs w:val="28"/>
        </w:rPr>
        <w:t>4</w:t>
      </w:r>
      <w:r>
        <w:rPr>
          <w:sz w:val="28"/>
          <w:szCs w:val="28"/>
        </w:rPr>
        <w:t xml:space="preserve">.g. je manjak prihoda od </w:t>
      </w:r>
      <w:r w:rsidR="00BB6870">
        <w:rPr>
          <w:sz w:val="28"/>
          <w:szCs w:val="28"/>
        </w:rPr>
        <w:t>805,17 eura</w:t>
      </w:r>
      <w:r>
        <w:rPr>
          <w:sz w:val="28"/>
          <w:szCs w:val="28"/>
        </w:rPr>
        <w:t xml:space="preserve">. </w:t>
      </w:r>
    </w:p>
    <w:p w14:paraId="6BC6B2B9" w14:textId="77777777" w:rsidR="00BB6870" w:rsidRDefault="00BB6870" w:rsidP="00E8634B">
      <w:pPr>
        <w:spacing w:line="360" w:lineRule="auto"/>
        <w:rPr>
          <w:sz w:val="28"/>
          <w:szCs w:val="28"/>
        </w:rPr>
      </w:pPr>
    </w:p>
    <w:p w14:paraId="263C2275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OBAZAC:  IZVJEŠTAJ O RASHODIMA PREMA FUNKCIJSKOJ KLASIFIKACIJI</w:t>
      </w:r>
    </w:p>
    <w:p w14:paraId="6C02A111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0912 Osnovno obrazovanje</w:t>
      </w:r>
    </w:p>
    <w:p w14:paraId="3BE9FCB7" w14:textId="56186EA7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 izvještajno razdoblje ukupni rashodi osnovnog obrazovanja iznose 2.</w:t>
      </w:r>
      <w:r w:rsidR="009F739D">
        <w:rPr>
          <w:sz w:val="28"/>
          <w:szCs w:val="28"/>
        </w:rPr>
        <w:t>870.598,17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. </w:t>
      </w:r>
    </w:p>
    <w:p w14:paraId="1A90D5EB" w14:textId="77777777" w:rsidR="00621F81" w:rsidRDefault="00621F81" w:rsidP="00E8634B">
      <w:pPr>
        <w:spacing w:line="360" w:lineRule="auto"/>
        <w:rPr>
          <w:b/>
          <w:bCs/>
          <w:sz w:val="28"/>
          <w:szCs w:val="28"/>
        </w:rPr>
      </w:pPr>
    </w:p>
    <w:p w14:paraId="416B5F41" w14:textId="77777777" w:rsidR="00621F81" w:rsidRDefault="009B089D" w:rsidP="00E8634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OBRAZAC P-VRIO</w:t>
      </w:r>
    </w:p>
    <w:p w14:paraId="4F321402" w14:textId="13B51B16" w:rsidR="00621F81" w:rsidRDefault="009B089D" w:rsidP="00E8634B">
      <w:pPr>
        <w:spacing w:line="360" w:lineRule="auto"/>
        <w:jc w:val="both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Nastavno na Odluku </w:t>
      </w:r>
      <w:r w:rsidR="006E752D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o prijenosu prava vlasništva na opremi</w:t>
      </w:r>
      <w:r w:rsidR="00657BC9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od 1.siječnja 2024. (KLASA: 100-910/24/283, UR.BROJ: I88002-650-349-24-4)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657BC9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oprema 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koja se vodila u poslovnim knjigama </w:t>
      </w:r>
      <w:r w:rsidR="009F739D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Hrvatske akademske i istraživačke mreže – CARNET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657BC9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prenosi 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u poslovne knjige OŠ Mejaši</w:t>
      </w:r>
      <w:r w:rsidR="00E765CE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koja</w:t>
      </w:r>
      <w: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cjelokupni iznos sadašnje vrijednosti iskazuje kao povećanje vlastite imovine.</w:t>
      </w:r>
    </w:p>
    <w:p w14:paraId="4F3670EF" w14:textId="77777777" w:rsidR="00621F81" w:rsidRDefault="00621F81" w:rsidP="00E8634B">
      <w:pPr>
        <w:spacing w:line="360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</w:p>
    <w:p w14:paraId="7697635A" w14:textId="77777777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OBRAZAC: OBVEZE</w:t>
      </w:r>
    </w:p>
    <w:p w14:paraId="28CB6E6E" w14:textId="2E8A1B6F" w:rsidR="00621F81" w:rsidRDefault="009B089D" w:rsidP="00E8634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V006 Stanje obveza na kraju izvještajnog razdoblja=</w:t>
      </w:r>
      <w:r w:rsidR="009F739D">
        <w:rPr>
          <w:b/>
          <w:sz w:val="28"/>
          <w:szCs w:val="28"/>
        </w:rPr>
        <w:t>275.953,33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eur</w:t>
      </w:r>
      <w:proofErr w:type="spellEnd"/>
      <w:r>
        <w:rPr>
          <w:b/>
          <w:sz w:val="28"/>
          <w:szCs w:val="28"/>
        </w:rPr>
        <w:t>.</w:t>
      </w:r>
    </w:p>
    <w:p w14:paraId="1F5839D2" w14:textId="58863D29" w:rsidR="00621F81" w:rsidRDefault="009B089D" w:rsidP="00E863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Odnosi se na obveze za Grad (nepodmireni računi) , obveze MZO</w:t>
      </w:r>
      <w:r w:rsidR="006F5A83">
        <w:rPr>
          <w:sz w:val="28"/>
          <w:szCs w:val="28"/>
        </w:rPr>
        <w:t>M</w:t>
      </w:r>
      <w:r>
        <w:rPr>
          <w:sz w:val="28"/>
          <w:szCs w:val="28"/>
        </w:rPr>
        <w:t xml:space="preserve">  (plaće), obveze za marende (nepodmireni računi) te refundacije za bolovanje HZZO.</w:t>
      </w:r>
    </w:p>
    <w:p w14:paraId="16AEE830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4F0E2412" w14:textId="0BDB3C27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Split, </w:t>
      </w:r>
      <w:r w:rsidR="00E765C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E765C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765C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C8AADF0" w14:textId="77777777" w:rsidR="00621F81" w:rsidRDefault="00621F81" w:rsidP="00E8634B">
      <w:pPr>
        <w:spacing w:line="360" w:lineRule="auto"/>
        <w:rPr>
          <w:sz w:val="28"/>
          <w:szCs w:val="28"/>
        </w:rPr>
      </w:pPr>
    </w:p>
    <w:p w14:paraId="1F3FC381" w14:textId="77777777" w:rsidR="00621F81" w:rsidRDefault="009B089D" w:rsidP="00E86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Zakonski predstavnik:</w:t>
      </w:r>
    </w:p>
    <w:sectPr w:rsidR="0062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0AAF"/>
    <w:multiLevelType w:val="multilevel"/>
    <w:tmpl w:val="B7609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1"/>
    <w:rsid w:val="00011762"/>
    <w:rsid w:val="000C3A6A"/>
    <w:rsid w:val="000E2036"/>
    <w:rsid w:val="003818F0"/>
    <w:rsid w:val="004C0EFF"/>
    <w:rsid w:val="00617307"/>
    <w:rsid w:val="00621F81"/>
    <w:rsid w:val="00657BC9"/>
    <w:rsid w:val="006B6ED2"/>
    <w:rsid w:val="006E752D"/>
    <w:rsid w:val="006F5A83"/>
    <w:rsid w:val="00797004"/>
    <w:rsid w:val="00903163"/>
    <w:rsid w:val="00921B66"/>
    <w:rsid w:val="00966651"/>
    <w:rsid w:val="009B089D"/>
    <w:rsid w:val="009F739D"/>
    <w:rsid w:val="00BB6870"/>
    <w:rsid w:val="00D260E7"/>
    <w:rsid w:val="00D37630"/>
    <w:rsid w:val="00E765CE"/>
    <w:rsid w:val="00E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08D0"/>
  <w15:docId w15:val="{4291AC4B-52F1-437E-B010-930A2C8A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uiPriority w:val="99"/>
    <w:semiHidden/>
    <w:qFormat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115A-0C05-4042-A0BE-9A43C14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Marici</dc:creator>
  <cp:lastModifiedBy>Računovodstvo 1</cp:lastModifiedBy>
  <cp:revision>2</cp:revision>
  <cp:lastPrinted>2025-01-31T12:30:00Z</cp:lastPrinted>
  <dcterms:created xsi:type="dcterms:W3CDTF">2025-01-31T13:36:00Z</dcterms:created>
  <dcterms:modified xsi:type="dcterms:W3CDTF">2025-01-31T13:36:00Z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FEE97A0C1FB041B193D5D35E8E5418E9_12</vt:lpwstr>
  </property>
</Properties>
</file>